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9139B2" w14:paraId="5265425E" w14:textId="77777777" w:rsidTr="00A94C50">
        <w:trPr>
          <w:trHeight w:val="88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0540" w14:textId="77777777" w:rsidR="009139B2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Title:</w:t>
            </w:r>
          </w:p>
          <w:p w14:paraId="35171AA0" w14:textId="6EDA08DF" w:rsidR="009139B2" w:rsidRDefault="009139B2" w:rsidP="001C7C2A">
            <w:pPr>
              <w:widowControl w:val="0"/>
              <w:rPr>
                <w:rFonts w:ascii="Lato" w:eastAsia="Lato" w:hAnsi="Lato" w:cs="Lato"/>
                <w:sz w:val="28"/>
                <w:szCs w:val="28"/>
              </w:rPr>
            </w:pPr>
            <w:r>
              <w:rPr>
                <w:rFonts w:ascii="Lato" w:eastAsia="Lato" w:hAnsi="Lato" w:cs="Lato"/>
                <w:sz w:val="28"/>
                <w:szCs w:val="28"/>
              </w:rPr>
              <w:t xml:space="preserve"> </w:t>
            </w:r>
            <w:r w:rsidR="007C792C">
              <w:rPr>
                <w:rFonts w:ascii="Lato" w:eastAsia="Lato" w:hAnsi="Lato" w:cs="Lato"/>
                <w:sz w:val="28"/>
                <w:szCs w:val="28"/>
              </w:rPr>
              <w:t>Is Contemplation of Personal Mortality Helpful for</w:t>
            </w:r>
            <w:r w:rsidR="001C7C2A">
              <w:rPr>
                <w:rFonts w:ascii="Lato" w:eastAsia="Lato" w:hAnsi="Lato" w:cs="Lato"/>
                <w:sz w:val="28"/>
                <w:szCs w:val="28"/>
              </w:rPr>
              <w:t xml:space="preserve"> </w:t>
            </w:r>
            <w:r w:rsidR="007C792C">
              <w:rPr>
                <w:rFonts w:ascii="Lato" w:eastAsia="Lato" w:hAnsi="Lato" w:cs="Lato"/>
                <w:sz w:val="28"/>
                <w:szCs w:val="28"/>
              </w:rPr>
              <w:t>C</w:t>
            </w:r>
            <w:r w:rsidR="001C7C2A">
              <w:rPr>
                <w:rFonts w:ascii="Lato" w:eastAsia="Lato" w:hAnsi="Lato" w:cs="Lato"/>
                <w:sz w:val="28"/>
                <w:szCs w:val="28"/>
              </w:rPr>
              <w:t xml:space="preserve">onfidence in </w:t>
            </w:r>
            <w:r w:rsidR="007C792C">
              <w:rPr>
                <w:rFonts w:ascii="Lato" w:eastAsia="Lato" w:hAnsi="Lato" w:cs="Lato"/>
                <w:sz w:val="28"/>
                <w:szCs w:val="28"/>
              </w:rPr>
              <w:t>E</w:t>
            </w:r>
            <w:r w:rsidR="001C7C2A">
              <w:rPr>
                <w:rFonts w:ascii="Lato" w:eastAsia="Lato" w:hAnsi="Lato" w:cs="Lato"/>
                <w:sz w:val="28"/>
                <w:szCs w:val="28"/>
              </w:rPr>
              <w:t xml:space="preserve">nd of </w:t>
            </w:r>
            <w:r w:rsidR="007C792C">
              <w:rPr>
                <w:rFonts w:ascii="Lato" w:eastAsia="Lato" w:hAnsi="Lato" w:cs="Lato"/>
                <w:sz w:val="28"/>
                <w:szCs w:val="28"/>
              </w:rPr>
              <w:t>L</w:t>
            </w:r>
            <w:r w:rsidR="001C7C2A">
              <w:rPr>
                <w:rFonts w:ascii="Lato" w:eastAsia="Lato" w:hAnsi="Lato" w:cs="Lato"/>
                <w:sz w:val="28"/>
                <w:szCs w:val="28"/>
              </w:rPr>
              <w:t xml:space="preserve">ife </w:t>
            </w:r>
            <w:r w:rsidR="007C792C">
              <w:rPr>
                <w:rFonts w:ascii="Lato" w:eastAsia="Lato" w:hAnsi="Lato" w:cs="Lato"/>
                <w:sz w:val="28"/>
                <w:szCs w:val="28"/>
              </w:rPr>
              <w:t>D</w:t>
            </w:r>
            <w:r w:rsidR="001C7C2A">
              <w:rPr>
                <w:rFonts w:ascii="Lato" w:eastAsia="Lato" w:hAnsi="Lato" w:cs="Lato"/>
                <w:sz w:val="28"/>
                <w:szCs w:val="28"/>
              </w:rPr>
              <w:t>iscussions?</w:t>
            </w:r>
          </w:p>
        </w:tc>
      </w:tr>
      <w:tr w:rsidR="009139B2" w14:paraId="2D3A88FA" w14:textId="77777777" w:rsidTr="00A94C50">
        <w:trPr>
          <w:trHeight w:val="3177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EC9D" w14:textId="77777777" w:rsidR="009139B2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Abstract:</w:t>
            </w:r>
          </w:p>
          <w:p w14:paraId="2514FC0F" w14:textId="376EB9DD" w:rsidR="009139B2" w:rsidRPr="001C7C2A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 w:rsidRPr="001C7C2A">
              <w:rPr>
                <w:rFonts w:ascii="Lato" w:eastAsia="Lato" w:hAnsi="Lato" w:cs="Lato"/>
              </w:rPr>
              <w:t>BACKGROUND</w:t>
            </w:r>
          </w:p>
          <w:p w14:paraId="311687B1" w14:textId="7F59CBEC" w:rsidR="009139B2" w:rsidRPr="00503F14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 xml:space="preserve">The Royal College of  Physicians ‘Talking About Dying’ report 2018 demonstrated that trained medical professionals find initiating End of Life conversations difficult due to culture, confidence and practicalities. </w:t>
            </w:r>
            <w:r w:rsidR="002622AE">
              <w:rPr>
                <w:rFonts w:ascii="Lato" w:eastAsia="Lato" w:hAnsi="Lato" w:cs="Lato"/>
              </w:rPr>
              <w:t>C</w:t>
            </w:r>
            <w:r w:rsidRPr="00503F14">
              <w:rPr>
                <w:rFonts w:ascii="Lato" w:eastAsia="Lato" w:hAnsi="Lato" w:cs="Lato"/>
              </w:rPr>
              <w:t xml:space="preserve">linicians and patients find confronting their own mortality challenging and the inaccuracy of prognosis compounds </w:t>
            </w:r>
            <w:r w:rsidR="003F7785" w:rsidRPr="00503F14">
              <w:rPr>
                <w:rFonts w:ascii="Lato" w:eastAsia="Lato" w:hAnsi="Lato" w:cs="Lato"/>
              </w:rPr>
              <w:t xml:space="preserve">the </w:t>
            </w:r>
            <w:r w:rsidRPr="00503F14">
              <w:rPr>
                <w:rFonts w:ascii="Lato" w:eastAsia="Lato" w:hAnsi="Lato" w:cs="Lato"/>
              </w:rPr>
              <w:t>reluctance</w:t>
            </w:r>
            <w:r w:rsidR="003F7785" w:rsidRPr="00503F14">
              <w:rPr>
                <w:rFonts w:ascii="Lato" w:eastAsia="Lato" w:hAnsi="Lato" w:cs="Lato"/>
              </w:rPr>
              <w:t xml:space="preserve"> to address end of life </w:t>
            </w:r>
            <w:r w:rsidR="002622AE">
              <w:rPr>
                <w:rFonts w:ascii="Lato" w:eastAsia="Lato" w:hAnsi="Lato" w:cs="Lato"/>
              </w:rPr>
              <w:t>discussions</w:t>
            </w:r>
            <w:r w:rsidRPr="00503F14">
              <w:rPr>
                <w:rFonts w:ascii="Lato" w:eastAsia="Lato" w:hAnsi="Lato" w:cs="Lato"/>
              </w:rPr>
              <w:t>.  The Omega Course was designed for the pre-morbid lay population to increase death literacy</w:t>
            </w:r>
            <w:r w:rsidR="003F7785" w:rsidRPr="00503F14">
              <w:rPr>
                <w:rFonts w:ascii="Lato" w:eastAsia="Lato" w:hAnsi="Lato" w:cs="Lato"/>
              </w:rPr>
              <w:t>,</w:t>
            </w:r>
            <w:r w:rsidRPr="00503F14">
              <w:rPr>
                <w:rFonts w:ascii="Lato" w:eastAsia="Lato" w:hAnsi="Lato" w:cs="Lato"/>
              </w:rPr>
              <w:t xml:space="preserve"> then teach skills required for a compassionate community</w:t>
            </w:r>
            <w:r w:rsidR="002622AE">
              <w:rPr>
                <w:rFonts w:ascii="Lato" w:eastAsia="Lato" w:hAnsi="Lato" w:cs="Lato"/>
              </w:rPr>
              <w:t>, including communication skills by role play</w:t>
            </w:r>
            <w:r w:rsidRPr="00503F14">
              <w:rPr>
                <w:rFonts w:ascii="Lato" w:eastAsia="Lato" w:hAnsi="Lato" w:cs="Lato"/>
              </w:rPr>
              <w:t>.  We trialed an abbreviated Omega</w:t>
            </w:r>
            <w:r w:rsidRPr="00503F14">
              <w:rPr>
                <w:rFonts w:ascii="Lato" w:eastAsia="Lato" w:hAnsi="Lato" w:cs="Lato"/>
                <w:b/>
                <w:bCs/>
                <w:color w:val="FF0000"/>
                <w:vertAlign w:val="superscript"/>
              </w:rPr>
              <w:t>Pro</w:t>
            </w:r>
            <w:r w:rsidRPr="00503F14">
              <w:rPr>
                <w:rFonts w:ascii="Lato" w:eastAsia="Lato" w:hAnsi="Lato" w:cs="Lato"/>
              </w:rPr>
              <w:t xml:space="preserve"> one day course to assess</w:t>
            </w:r>
            <w:r w:rsidR="002622AE">
              <w:rPr>
                <w:rFonts w:ascii="Lato" w:eastAsia="Lato" w:hAnsi="Lato" w:cs="Lato"/>
              </w:rPr>
              <w:t xml:space="preserve"> if</w:t>
            </w:r>
            <w:r w:rsidRPr="00503F14">
              <w:rPr>
                <w:rFonts w:ascii="Lato" w:eastAsia="Lato" w:hAnsi="Lato" w:cs="Lato"/>
              </w:rPr>
              <w:t xml:space="preserve"> the same curriculum, starting with </w:t>
            </w:r>
            <w:r w:rsidR="003F7785" w:rsidRPr="00503F14">
              <w:rPr>
                <w:rFonts w:ascii="Lato" w:eastAsia="Lato" w:hAnsi="Lato" w:cs="Lato"/>
              </w:rPr>
              <w:t xml:space="preserve">contemplation of </w:t>
            </w:r>
            <w:r w:rsidRPr="00503F14">
              <w:rPr>
                <w:rFonts w:ascii="Lato" w:eastAsia="Lato" w:hAnsi="Lato" w:cs="Lato"/>
              </w:rPr>
              <w:t xml:space="preserve">one’s own mortality and end of life </w:t>
            </w:r>
            <w:r w:rsidR="003F7785" w:rsidRPr="00503F14">
              <w:rPr>
                <w:rFonts w:ascii="Lato" w:eastAsia="Lato" w:hAnsi="Lato" w:cs="Lato"/>
              </w:rPr>
              <w:t>care planning,</w:t>
            </w:r>
            <w:r w:rsidRPr="00503F14">
              <w:rPr>
                <w:rFonts w:ascii="Lato" w:eastAsia="Lato" w:hAnsi="Lato" w:cs="Lato"/>
              </w:rPr>
              <w:t xml:space="preserve"> was beneficial to senior </w:t>
            </w:r>
            <w:r w:rsidR="003F7785" w:rsidRPr="00503F14">
              <w:rPr>
                <w:rFonts w:ascii="Lato" w:eastAsia="Lato" w:hAnsi="Lato" w:cs="Lato"/>
              </w:rPr>
              <w:t xml:space="preserve">clinicians </w:t>
            </w:r>
            <w:r w:rsidRPr="00503F14">
              <w:rPr>
                <w:rFonts w:ascii="Lato" w:eastAsia="Lato" w:hAnsi="Lato" w:cs="Lato"/>
              </w:rPr>
              <w:t xml:space="preserve">with communication and </w:t>
            </w:r>
            <w:r w:rsidR="003F7785" w:rsidRPr="00503F14">
              <w:rPr>
                <w:rFonts w:ascii="Lato" w:eastAsia="Lato" w:hAnsi="Lato" w:cs="Lato"/>
              </w:rPr>
              <w:t xml:space="preserve">advance </w:t>
            </w:r>
            <w:r w:rsidRPr="00503F14">
              <w:rPr>
                <w:rFonts w:ascii="Lato" w:eastAsia="Lato" w:hAnsi="Lato" w:cs="Lato"/>
              </w:rPr>
              <w:t xml:space="preserve">care </w:t>
            </w:r>
            <w:r w:rsidR="003F7785" w:rsidRPr="00503F14">
              <w:rPr>
                <w:rFonts w:ascii="Lato" w:eastAsia="Lato" w:hAnsi="Lato" w:cs="Lato"/>
              </w:rPr>
              <w:t>planning</w:t>
            </w:r>
            <w:r w:rsidR="002622AE">
              <w:rPr>
                <w:rFonts w:ascii="Lato" w:eastAsia="Lato" w:hAnsi="Lato" w:cs="Lato"/>
              </w:rPr>
              <w:t>.</w:t>
            </w:r>
          </w:p>
          <w:p w14:paraId="3634932A" w14:textId="4C276066" w:rsidR="009139B2" w:rsidRPr="00503F14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>METHOD</w:t>
            </w:r>
            <w:r w:rsidR="00503F14">
              <w:rPr>
                <w:rFonts w:ascii="Lato" w:eastAsia="Lato" w:hAnsi="Lato" w:cs="Lato"/>
              </w:rPr>
              <w:t>S</w:t>
            </w:r>
          </w:p>
          <w:p w14:paraId="19FE85F5" w14:textId="6D7A0FEF" w:rsidR="009139B2" w:rsidRPr="00503F14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>The 14 hour Omega Course was condensed into 6 hours for professionals</w:t>
            </w:r>
            <w:r w:rsidR="003F7785" w:rsidRPr="00503F14">
              <w:rPr>
                <w:rFonts w:ascii="Lato" w:eastAsia="Lato" w:hAnsi="Lato" w:cs="Lato"/>
              </w:rPr>
              <w:t>,</w:t>
            </w:r>
            <w:r w:rsidRPr="00503F14">
              <w:rPr>
                <w:rFonts w:ascii="Lato" w:eastAsia="Lato" w:hAnsi="Lato" w:cs="Lato"/>
              </w:rPr>
              <w:t xml:space="preserve"> as some of the material would be familiar.  The focus on </w:t>
            </w:r>
            <w:r w:rsidR="003F7785" w:rsidRPr="00503F14">
              <w:rPr>
                <w:rFonts w:ascii="Lato" w:eastAsia="Lato" w:hAnsi="Lato" w:cs="Lato"/>
              </w:rPr>
              <w:t xml:space="preserve">universal and </w:t>
            </w:r>
            <w:r w:rsidRPr="00503F14">
              <w:rPr>
                <w:rFonts w:ascii="Lato" w:eastAsia="Lato" w:hAnsi="Lato" w:cs="Lato"/>
              </w:rPr>
              <w:t>personal mortality</w:t>
            </w:r>
            <w:r w:rsidR="003F7785" w:rsidRPr="00503F14">
              <w:rPr>
                <w:rFonts w:ascii="Lato" w:eastAsia="Lato" w:hAnsi="Lato" w:cs="Lato"/>
              </w:rPr>
              <w:t>, end of life wishes</w:t>
            </w:r>
            <w:r w:rsidRPr="00503F14">
              <w:rPr>
                <w:rFonts w:ascii="Lato" w:eastAsia="Lato" w:hAnsi="Lato" w:cs="Lato"/>
              </w:rPr>
              <w:t xml:space="preserve"> and communication role plays was purposely retained.  </w:t>
            </w:r>
            <w:r w:rsidR="002622AE">
              <w:rPr>
                <w:rFonts w:ascii="Lato" w:eastAsia="Lato" w:hAnsi="Lato" w:cs="Lato"/>
              </w:rPr>
              <w:t>P</w:t>
            </w:r>
            <w:r w:rsidRPr="00503F14">
              <w:rPr>
                <w:rFonts w:ascii="Lato" w:eastAsia="Lato" w:hAnsi="Lato" w:cs="Lato"/>
              </w:rPr>
              <w:t>re and post</w:t>
            </w:r>
            <w:r w:rsidR="002622AE">
              <w:rPr>
                <w:rFonts w:ascii="Lato" w:eastAsia="Lato" w:hAnsi="Lato" w:cs="Lato"/>
              </w:rPr>
              <w:t>-</w:t>
            </w:r>
            <w:r w:rsidRPr="00503F14">
              <w:rPr>
                <w:rFonts w:ascii="Lato" w:eastAsia="Lato" w:hAnsi="Lato" w:cs="Lato"/>
              </w:rPr>
              <w:t>course questionnaire</w:t>
            </w:r>
            <w:r w:rsidR="002622AE">
              <w:rPr>
                <w:rFonts w:ascii="Lato" w:eastAsia="Lato" w:hAnsi="Lato" w:cs="Lato"/>
              </w:rPr>
              <w:t>s,</w:t>
            </w:r>
            <w:r w:rsidRPr="00503F14">
              <w:rPr>
                <w:rFonts w:ascii="Lato" w:eastAsia="Lato" w:hAnsi="Lato" w:cs="Lato"/>
              </w:rPr>
              <w:t xml:space="preserve"> </w:t>
            </w:r>
            <w:r w:rsidR="002622AE">
              <w:rPr>
                <w:rFonts w:ascii="Lato" w:eastAsia="Lato" w:hAnsi="Lato" w:cs="Lato"/>
              </w:rPr>
              <w:t xml:space="preserve">using </w:t>
            </w:r>
            <w:r w:rsidRPr="00503F14">
              <w:rPr>
                <w:rFonts w:ascii="Lato" w:eastAsia="Lato" w:hAnsi="Lato" w:cs="Lato"/>
              </w:rPr>
              <w:t xml:space="preserve">quantitative and qualitative </w:t>
            </w:r>
            <w:r w:rsidR="002622AE">
              <w:rPr>
                <w:rFonts w:ascii="Lato" w:eastAsia="Lato" w:hAnsi="Lato" w:cs="Lato"/>
              </w:rPr>
              <w:t>questions were</w:t>
            </w:r>
            <w:r w:rsidRPr="00503F14">
              <w:rPr>
                <w:rFonts w:ascii="Lato" w:eastAsia="Lato" w:hAnsi="Lato" w:cs="Lato"/>
              </w:rPr>
              <w:t xml:space="preserve"> performed (n=</w:t>
            </w:r>
            <w:r w:rsidR="00503F14" w:rsidRPr="00503F14">
              <w:rPr>
                <w:rFonts w:ascii="Lato" w:eastAsia="Lato" w:hAnsi="Lato" w:cs="Lato"/>
              </w:rPr>
              <w:t>24</w:t>
            </w:r>
            <w:r w:rsidRPr="00503F14">
              <w:rPr>
                <w:rFonts w:ascii="Lato" w:eastAsia="Lato" w:hAnsi="Lato" w:cs="Lato"/>
              </w:rPr>
              <w:t>).</w:t>
            </w:r>
          </w:p>
          <w:p w14:paraId="5D381678" w14:textId="77777777" w:rsidR="009139B2" w:rsidRPr="00503F14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>RESULTS</w:t>
            </w:r>
          </w:p>
          <w:p w14:paraId="4BC2CF76" w14:textId="5F5D273B" w:rsidR="009139B2" w:rsidRPr="00503F14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 xml:space="preserve">Statistically </w:t>
            </w:r>
            <w:r w:rsidR="001C7C2A">
              <w:rPr>
                <w:rFonts w:ascii="Lato" w:eastAsia="Lato" w:hAnsi="Lato" w:cs="Lato"/>
              </w:rPr>
              <w:t xml:space="preserve">highly </w:t>
            </w:r>
            <w:r w:rsidRPr="00503F14">
              <w:rPr>
                <w:rFonts w:ascii="Lato" w:eastAsia="Lato" w:hAnsi="Lato" w:cs="Lato"/>
              </w:rPr>
              <w:t>significant paired t-test results</w:t>
            </w:r>
            <w:r w:rsidR="00503F14">
              <w:rPr>
                <w:rFonts w:ascii="Lato" w:eastAsia="Lato" w:hAnsi="Lato" w:cs="Lato"/>
              </w:rPr>
              <w:t xml:space="preserve"> (p&lt;0.001)</w:t>
            </w:r>
            <w:r w:rsidRPr="00503F14">
              <w:rPr>
                <w:rFonts w:ascii="Lato" w:eastAsia="Lato" w:hAnsi="Lato" w:cs="Lato"/>
              </w:rPr>
              <w:t xml:space="preserve"> demonstrated increased confidence at the end of the day in:</w:t>
            </w:r>
          </w:p>
          <w:p w14:paraId="0B9DC1DB" w14:textId="77777777" w:rsidR="009139B2" w:rsidRPr="00503F14" w:rsidRDefault="009139B2" w:rsidP="001C7C2A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>Thinking about my own death</w:t>
            </w:r>
          </w:p>
          <w:p w14:paraId="3E2295D2" w14:textId="77777777" w:rsidR="009139B2" w:rsidRPr="00503F14" w:rsidRDefault="009139B2" w:rsidP="001C7C2A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>Listening to patient concerns</w:t>
            </w:r>
          </w:p>
          <w:p w14:paraId="7AEBAE6D" w14:textId="65350459" w:rsidR="00503F14" w:rsidRPr="001C7C2A" w:rsidRDefault="009139B2" w:rsidP="001C7C2A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>Responding to patient concerns</w:t>
            </w:r>
          </w:p>
          <w:p w14:paraId="197E23B0" w14:textId="1FBEEF36" w:rsidR="00503F14" w:rsidRPr="00503F14" w:rsidRDefault="00503F14" w:rsidP="001C7C2A">
            <w:pPr>
              <w:widowControl w:val="0"/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Best part</w:t>
            </w:r>
          </w:p>
          <w:p w14:paraId="172BC3AC" w14:textId="77777777" w:rsidR="00503F14" w:rsidRP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Role play scenarios  11</w:t>
            </w:r>
          </w:p>
          <w:p w14:paraId="04FE61D3" w14:textId="77777777" w:rsidR="00503F14" w:rsidRP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All of it  9</w:t>
            </w:r>
          </w:p>
          <w:p w14:paraId="2DFB81F1" w14:textId="77777777" w:rsidR="00503F14" w:rsidRP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Relaxed discussion and sharing  3</w:t>
            </w:r>
          </w:p>
          <w:p w14:paraId="24B4CD6C" w14:textId="77777777" w:rsidR="00503F14" w:rsidRP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Exploring own death in order to understand patients 3</w:t>
            </w:r>
          </w:p>
          <w:p w14:paraId="47397E07" w14:textId="6FB530E4" w:rsidR="00503F14" w:rsidRPr="00503F14" w:rsidRDefault="00503F14" w:rsidP="001C7C2A">
            <w:pPr>
              <w:widowControl w:val="0"/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 xml:space="preserve">Most challenging </w:t>
            </w:r>
            <w:r w:rsidR="001C7C2A">
              <w:rPr>
                <w:rFonts w:ascii="Lato" w:eastAsia="Lato" w:hAnsi="Lato" w:cs="Lato"/>
                <w:lang w:val="en-GB"/>
              </w:rPr>
              <w:t>part</w:t>
            </w:r>
          </w:p>
          <w:p w14:paraId="03A4AB90" w14:textId="77777777" w:rsidR="00503F14" w:rsidRP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Thinking about own death  9</w:t>
            </w:r>
          </w:p>
          <w:p w14:paraId="5F565EB2" w14:textId="624CDF29" w:rsid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Role play  7</w:t>
            </w:r>
          </w:p>
          <w:p w14:paraId="3A1A07F4" w14:textId="504AE964" w:rsidR="00503F14" w:rsidRPr="00757BBF" w:rsidRDefault="001C7C2A" w:rsidP="001C7C2A">
            <w:pPr>
              <w:widowControl w:val="0"/>
              <w:rPr>
                <w:rFonts w:ascii="Lato" w:eastAsia="Lato" w:hAnsi="Lato" w:cs="Lato"/>
                <w:lang w:val="en-GB"/>
              </w:rPr>
            </w:pPr>
            <w:r>
              <w:rPr>
                <w:rFonts w:ascii="Lato" w:eastAsia="Lato" w:hAnsi="Lato" w:cs="Lato"/>
                <w:lang w:val="en-GB"/>
              </w:rPr>
              <w:t>Comment for c</w:t>
            </w:r>
            <w:r w:rsidR="00757BBF">
              <w:rPr>
                <w:rFonts w:ascii="Lato" w:eastAsia="Lato" w:hAnsi="Lato" w:cs="Lato"/>
                <w:lang w:val="en-GB"/>
              </w:rPr>
              <w:t>ourse marketing</w:t>
            </w:r>
          </w:p>
          <w:p w14:paraId="178FB749" w14:textId="31B87C5C" w:rsidR="00503F14" w:rsidRP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Do it!  18</w:t>
            </w:r>
            <w:r w:rsidRPr="00503F14">
              <w:rPr>
                <w:rFonts w:ascii="Lato" w:eastAsia="Lato" w:hAnsi="Lato" w:cs="Lato"/>
                <w:lang w:val="en-GB"/>
              </w:rPr>
              <w:tab/>
            </w:r>
            <w:r w:rsidRPr="00503F14">
              <w:rPr>
                <w:rFonts w:ascii="Lato" w:eastAsia="Lato" w:hAnsi="Lato" w:cs="Lato"/>
                <w:lang w:val="en-GB"/>
              </w:rPr>
              <w:tab/>
            </w:r>
            <w:r w:rsidRPr="00503F14">
              <w:rPr>
                <w:rFonts w:ascii="Lato" w:eastAsia="Lato" w:hAnsi="Lato" w:cs="Lato"/>
                <w:lang w:val="en-GB"/>
              </w:rPr>
              <w:tab/>
            </w:r>
          </w:p>
          <w:p w14:paraId="7F7737A5" w14:textId="74168325" w:rsidR="00503F14" w:rsidRP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>Educational   6</w:t>
            </w:r>
            <w:r w:rsidRPr="00503F14">
              <w:rPr>
                <w:rFonts w:ascii="Lato" w:eastAsia="Lato" w:hAnsi="Lato" w:cs="Lato"/>
                <w:lang w:val="en-GB"/>
              </w:rPr>
              <w:tab/>
            </w:r>
            <w:r w:rsidRPr="00503F14">
              <w:rPr>
                <w:rFonts w:ascii="Lato" w:eastAsia="Lato" w:hAnsi="Lato" w:cs="Lato"/>
                <w:lang w:val="en-GB"/>
              </w:rPr>
              <w:tab/>
            </w:r>
          </w:p>
          <w:p w14:paraId="2023A702" w14:textId="176394B7" w:rsidR="00503F14" w:rsidRDefault="00503F14" w:rsidP="001C7C2A">
            <w:pPr>
              <w:pStyle w:val="ListParagraph"/>
              <w:widowControl w:val="0"/>
              <w:numPr>
                <w:ilvl w:val="1"/>
                <w:numId w:val="4"/>
              </w:numPr>
              <w:rPr>
                <w:rFonts w:ascii="Lato" w:eastAsia="Lato" w:hAnsi="Lato" w:cs="Lato"/>
                <w:lang w:val="en-GB"/>
              </w:rPr>
            </w:pPr>
            <w:r w:rsidRPr="00503F14">
              <w:rPr>
                <w:rFonts w:ascii="Lato" w:eastAsia="Lato" w:hAnsi="Lato" w:cs="Lato"/>
                <w:lang w:val="en-GB"/>
              </w:rPr>
              <w:t xml:space="preserve">Makes you think  </w:t>
            </w:r>
            <w:r w:rsidR="00757BBF">
              <w:rPr>
                <w:rFonts w:ascii="Lato" w:eastAsia="Lato" w:hAnsi="Lato" w:cs="Lato"/>
                <w:lang w:val="en-GB"/>
              </w:rPr>
              <w:t>6</w:t>
            </w:r>
            <w:r w:rsidRPr="00503F14">
              <w:rPr>
                <w:rFonts w:ascii="Lato" w:eastAsia="Lato" w:hAnsi="Lato" w:cs="Lato"/>
                <w:lang w:val="en-GB"/>
              </w:rPr>
              <w:tab/>
            </w:r>
          </w:p>
          <w:p w14:paraId="0D669A8A" w14:textId="6C42B84A" w:rsidR="009139B2" w:rsidRPr="00503F14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>CONCLUSION</w:t>
            </w:r>
          </w:p>
          <w:p w14:paraId="41B24A3F" w14:textId="3DF4B0D6" w:rsidR="009139B2" w:rsidRPr="001C7C2A" w:rsidRDefault="009139B2" w:rsidP="001C7C2A">
            <w:pPr>
              <w:widowControl w:val="0"/>
              <w:rPr>
                <w:rFonts w:ascii="Lato" w:eastAsia="Lato" w:hAnsi="Lato" w:cs="Lato"/>
              </w:rPr>
            </w:pPr>
            <w:r w:rsidRPr="00503F14">
              <w:rPr>
                <w:rFonts w:ascii="Lato" w:eastAsia="Lato" w:hAnsi="Lato" w:cs="Lato"/>
              </w:rPr>
              <w:t xml:space="preserve">Clinical training is depersonalised for professionalism and psychological coping but </w:t>
            </w:r>
            <w:r w:rsidR="00503F14">
              <w:rPr>
                <w:rFonts w:ascii="Lato" w:eastAsia="Lato" w:hAnsi="Lato" w:cs="Lato"/>
              </w:rPr>
              <w:t xml:space="preserve">this </w:t>
            </w:r>
            <w:r w:rsidRPr="00503F14">
              <w:rPr>
                <w:rFonts w:ascii="Lato" w:eastAsia="Lato" w:hAnsi="Lato" w:cs="Lato"/>
              </w:rPr>
              <w:t>can obstruct communication with dying patients.  The challenge of contemplating personal mortality pre</w:t>
            </w:r>
            <w:r w:rsidR="00757BBF">
              <w:rPr>
                <w:rFonts w:ascii="Lato" w:eastAsia="Lato" w:hAnsi="Lato" w:cs="Lato"/>
              </w:rPr>
              <w:t xml:space="preserve"> </w:t>
            </w:r>
            <w:r w:rsidRPr="00503F14">
              <w:rPr>
                <w:rFonts w:ascii="Lato" w:eastAsia="Lato" w:hAnsi="Lato" w:cs="Lato"/>
              </w:rPr>
              <w:t>communication training was appreciated</w:t>
            </w:r>
            <w:r w:rsidR="00503F14">
              <w:rPr>
                <w:rFonts w:ascii="Lato" w:eastAsia="Lato" w:hAnsi="Lato" w:cs="Lato"/>
              </w:rPr>
              <w:t xml:space="preserve"> and effective </w:t>
            </w:r>
            <w:r w:rsidR="00757BBF">
              <w:rPr>
                <w:rFonts w:ascii="Lato" w:eastAsia="Lato" w:hAnsi="Lato" w:cs="Lato"/>
              </w:rPr>
              <w:t>but if death is more personally acknowledged debriefing in supervision will be important.</w:t>
            </w:r>
          </w:p>
          <w:p w14:paraId="6FD72F32" w14:textId="77777777" w:rsidR="009139B2" w:rsidRDefault="009139B2" w:rsidP="001C7C2A">
            <w:pPr>
              <w:widowControl w:val="0"/>
              <w:rPr>
                <w:rFonts w:ascii="Lato" w:eastAsia="Lato" w:hAnsi="Lato" w:cs="Lato"/>
                <w:sz w:val="28"/>
                <w:szCs w:val="28"/>
              </w:rPr>
            </w:pPr>
          </w:p>
        </w:tc>
      </w:tr>
    </w:tbl>
    <w:p w14:paraId="210680B1" w14:textId="77777777" w:rsidR="009139B2" w:rsidRDefault="009139B2" w:rsidP="001C7C2A"/>
    <w:sectPr w:rsidR="0091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1E"/>
    <w:multiLevelType w:val="hybridMultilevel"/>
    <w:tmpl w:val="9DC8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D3B"/>
    <w:multiLevelType w:val="hybridMultilevel"/>
    <w:tmpl w:val="F60483AA"/>
    <w:lvl w:ilvl="0" w:tplc="A432A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450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6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AC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0F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6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4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FC0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A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B25CD4"/>
    <w:multiLevelType w:val="hybridMultilevel"/>
    <w:tmpl w:val="011E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75543"/>
    <w:multiLevelType w:val="hybridMultilevel"/>
    <w:tmpl w:val="5676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2787"/>
    <w:multiLevelType w:val="hybridMultilevel"/>
    <w:tmpl w:val="578E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123577">
    <w:abstractNumId w:val="2"/>
  </w:num>
  <w:num w:numId="2" w16cid:durableId="792749391">
    <w:abstractNumId w:val="4"/>
  </w:num>
  <w:num w:numId="3" w16cid:durableId="1159465423">
    <w:abstractNumId w:val="0"/>
  </w:num>
  <w:num w:numId="4" w16cid:durableId="64182431">
    <w:abstractNumId w:val="3"/>
  </w:num>
  <w:num w:numId="5" w16cid:durableId="840777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B2"/>
    <w:rsid w:val="00176A14"/>
    <w:rsid w:val="001C7C2A"/>
    <w:rsid w:val="002622AE"/>
    <w:rsid w:val="003F7785"/>
    <w:rsid w:val="00503F14"/>
    <w:rsid w:val="00561F4E"/>
    <w:rsid w:val="006C792C"/>
    <w:rsid w:val="00757BBF"/>
    <w:rsid w:val="007C792C"/>
    <w:rsid w:val="009139B2"/>
    <w:rsid w:val="00B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60C9"/>
  <w15:chartTrackingRefBased/>
  <w15:docId w15:val="{129DA089-E81F-4D16-9150-355357BA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B2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9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3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Meystre</dc:creator>
  <cp:keywords/>
  <dc:description/>
  <cp:lastModifiedBy>Chantal Meystre</cp:lastModifiedBy>
  <cp:revision>4</cp:revision>
  <cp:lastPrinted>2022-10-22T20:35:00Z</cp:lastPrinted>
  <dcterms:created xsi:type="dcterms:W3CDTF">2022-10-20T19:08:00Z</dcterms:created>
  <dcterms:modified xsi:type="dcterms:W3CDTF">2023-02-10T19:38:00Z</dcterms:modified>
</cp:coreProperties>
</file>